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charts/chart9.xml" ContentType="application/vnd.openxmlformats-officedocument.drawingml.chart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10.xml" ContentType="application/vnd.openxmlformats-officedocument.drawingml.chart+xml"/>
  <Override PartName="/word/charts/_rels/chart9.xml.rels" ContentType="application/vnd.openxmlformats-package.relationships+xml"/>
  <Override PartName="/word/charts/_rels/chart1.xml.rels" ContentType="application/vnd.openxmlformats-package.relationships+xml"/>
  <Override PartName="/word/charts/_rels/chart2.xml.rels" ContentType="application/vnd.openxmlformats-package.relationships+xml"/>
  <Override PartName="/word/charts/_rels/chart3.xml.rels" ContentType="application/vnd.openxmlformats-package.relationships+xml"/>
  <Override PartName="/word/charts/_rels/chart4.xml.rels" ContentType="application/vnd.openxmlformats-package.relationships+xml"/>
  <Override PartName="/word/charts/_rels/chart5.xml.rels" ContentType="application/vnd.openxmlformats-package.relationships+xml"/>
  <Override PartName="/word/charts/_rels/chart10.xml.rels" ContentType="application/vnd.openxmlformats-package.relationships+xml"/>
  <Override PartName="/word/charts/_rels/chart6.xml.rels" ContentType="application/vnd.openxmlformats-package.relationships+xml"/>
  <Override PartName="/word/charts/_rels/chart7.xml.rels" ContentType="application/vnd.openxmlformats-package.relationships+xml"/>
  <Override PartName="/word/charts/_rels/chart8.xml.rels" ContentType="application/vnd.openxmlformats-package.relationships+xml"/>
  <Override PartName="/word/settings.xml" ContentType="application/vnd.openxmlformats-officedocument.wordprocessingml.settings+xml"/>
  <Override PartName="/word/embeddings/_____Microsoft_Office_Excel2.xlsx" ContentType="application/vnd.openxmlformats-officedocument.spreadsheetml.sheet"/>
  <Override PartName="/word/embeddings/_____Microsoft_Office_Excel7.xlsx" ContentType="application/vnd.openxmlformats-officedocument.spreadsheetml.sheet"/>
  <Override PartName="/word/embeddings/_____Microsoft_Office_Excel9.xlsx" ContentType="application/vnd.openxmlformats-officedocument.spreadsheetml.sheet"/>
  <Override PartName="/word/embeddings/_____Microsoft_Office_Excel1.xlsx" ContentType="application/vnd.openxmlformats-officedocument.spreadsheetml.sheet"/>
  <Override PartName="/word/embeddings/_____Microsoft_Office_Excel10.xlsx" ContentType="application/vnd.openxmlformats-officedocument.spreadsheetml.sheet"/>
  <Override PartName="/word/embeddings/_____Microsoft_Office_Excel6.xlsx" ContentType="application/vnd.openxmlformats-officedocument.spreadsheetml.sheet"/>
  <Override PartName="/word/embeddings/_____Microsoft_Office_Excel5.xlsx" ContentType="application/vnd.openxmlformats-officedocument.spreadsheetml.sheet"/>
  <Override PartName="/word/embeddings/_____Microsoft_Office_Excel4.xlsx" ContentType="application/vnd.openxmlformats-officedocument.spreadsheetml.sheet"/>
  <Override PartName="/word/embeddings/_____Microsoft_Office_Excel3.xlsx" ContentType="application/vnd.openxmlformats-officedocument.spreadsheetml.sheet"/>
  <Override PartName="/word/embeddings/_____Microsoft_Office_Excel8.xlsx" ContentType="application/vnd.openxmlformats-officedocument.spreadsheetml.sheet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Отдел по культуре Департамента социального развития 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администрации Советского района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Ханты-Мансийского автономного округа – Югры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АНАЛИТИЧЕСКИЙ ОТЧЕТ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о проведенном мониторинге потребности населения в услугах (работах), 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не оказываемых муниципальными учреждениями культуры, подведомственных Департаменту социального развития администрации Советского района, 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но востребованных у граждан 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/>
      </w:pPr>
      <w:r>
        <w:rPr>
          <w:rFonts w:cs="Times New Roman" w:ascii="Times New Roman" w:hAnsi="Times New Roman"/>
          <w:sz w:val="24"/>
          <w:szCs w:val="24"/>
        </w:rPr>
        <w:t>Советский 20</w:t>
      </w:r>
      <w:r>
        <w:rPr>
          <w:rFonts w:cs="Times New Roman" w:ascii="Times New Roman" w:hAnsi="Times New Roman"/>
          <w:sz w:val="24"/>
          <w:szCs w:val="24"/>
        </w:rPr>
        <w:t>19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ОГЛАВЛЕНИЕ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Введение …………………………………………………………………………………………3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1. Характеристика объекта исследования ……………………………………………………..4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2.Анализ полученных данных ………………………………………………………………….5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2.1. Востребованность муниципальных учреждений культуры у населения ……………….5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2.2. Потребность населения в предоставлении муниципальными учреждениями культуры услугах и оценка их качества …………………………………………………………………..6 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Заключение ……………………………………………………………………………………..14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Введение </w:t>
      </w:r>
    </w:p>
    <w:p>
      <w:pPr>
        <w:pStyle w:val="NoSpacing"/>
        <w:spacing w:lineRule="auto" w:line="36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ab/>
        <w:t>В рамках исполнения Указа Президента Российской Федерации от 07 мая 2012 года № 597 «О мероприятиях по реализации государственной социальной политики» (подпункт «к» пункта 1), Постановления Правительства РФ от 30 марта 2013 года № 286 «О формировании независимой системы оценки качества работы организаций, оказывающих социальные услуги» с 01 по 29 сентября 201</w:t>
      </w:r>
      <w:r>
        <w:rPr>
          <w:rFonts w:cs="Times New Roman" w:ascii="Times New Roman" w:hAnsi="Times New Roman"/>
          <w:sz w:val="24"/>
          <w:szCs w:val="24"/>
        </w:rPr>
        <w:t>9</w:t>
      </w:r>
      <w:r>
        <w:rPr>
          <w:rFonts w:cs="Times New Roman" w:ascii="Times New Roman" w:hAnsi="Times New Roman"/>
          <w:sz w:val="24"/>
          <w:szCs w:val="24"/>
        </w:rPr>
        <w:t xml:space="preserve"> года был проведен  мониторинг потребности населения в услугах (работах), не оказываемых муниципальными учреждениями культуры, подведомственных Департаменту социального развития администрации Советского района, но востребованных у граждан (Приказ Департамента социального развития № 194 от 31 августа 201</w:t>
      </w:r>
      <w:r>
        <w:rPr>
          <w:rFonts w:cs="Times New Roman" w:ascii="Times New Roman" w:hAnsi="Times New Roman"/>
          <w:sz w:val="24"/>
          <w:szCs w:val="24"/>
        </w:rPr>
        <w:t>9</w:t>
      </w:r>
      <w:r>
        <w:rPr>
          <w:rFonts w:cs="Times New Roman" w:ascii="Times New Roman" w:hAnsi="Times New Roman"/>
          <w:sz w:val="24"/>
          <w:szCs w:val="24"/>
        </w:rPr>
        <w:t xml:space="preserve"> года). 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Мониторинг проведен с целью изучения востребованности учреждений культуры и потребности населения в социально-культурных услугах, которые на данный момент не оказываются учреждениями культуры, подведомственных Департаменту социального развития для внесения изменений в ведомственный перечень услуг (работ), оказываемых муниципальными учреждениями культуры и для внесения изменений в перечень (комплекс) услуг, которые могут быть переданы на исполнение негосударственным организациям, в том числе социально ориентированным некоммерческим организациям.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Мониторинг проводился в виде социологического исследования посредством анкетного опроса. Всего было опрошено 1000 человек – жителей города Советского, получающих социально-культурные услуги в муниципальных учреждениях культуры – муниципальное бюджетное учреждение культуры «Советский районный центр культуры и досуга «Сибирь», муниципальное бюджетное учреждение «Межпоселенческая библиотека Советского района», муниципальное бюджетное учреждение «Музей истории и ремесел Советского района», муниципальное бюджетное учреждение дополнительного образования «Советская детская школа искусств». В ходе обработки полученных анкет, к анализу данных были допущены 500 анкет, т.к. половина предоставленных анкет содержит недостоверные для анализа данные.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Тип выборки – простая случайная. </w:t>
      </w:r>
      <w:r>
        <w:rPr>
          <w:rFonts w:ascii="Times New Roman" w:hAnsi="Times New Roman"/>
          <w:sz w:val="24"/>
          <w:szCs w:val="24"/>
        </w:rPr>
        <w:t xml:space="preserve">Репрезентативность выборки обеспечена 95% доверительной вероятности; доверительный интервал составил </w:t>
      </w:r>
      <w:r>
        <w:rPr>
          <w:sz w:val="24"/>
          <w:szCs w:val="24"/>
          <w:u w:val="single"/>
        </w:rPr>
        <w:t>+</w:t>
      </w:r>
      <w:r>
        <w:rPr>
          <w:rFonts w:ascii="Times New Roman" w:hAnsi="Times New Roman"/>
          <w:sz w:val="24"/>
          <w:szCs w:val="24"/>
        </w:rPr>
        <w:t>4,35%. Т.е., с высокой степенью вероятности мы можем экстраполировать выводы по исследованию на всю генеральную совокупность.</w:t>
      </w:r>
      <w:r>
        <w:rPr>
          <w:rFonts w:ascii="Times New Roman" w:hAnsi="Times New Roman"/>
          <w:sz w:val="28"/>
          <w:szCs w:val="28"/>
        </w:rPr>
        <w:t xml:space="preserve">   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1. Характеристики объекта исследования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Социально-демографические характеристики в выборке отражают их распределение в генеральной совокупности.</w:t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опросе приняли участие больше женщин, чем мужчин.</w:t>
      </w:r>
    </w:p>
    <w:p>
      <w:pPr>
        <w:pStyle w:val="Normal"/>
        <w:spacing w:before="0" w:after="0"/>
        <w:ind w:firstLine="70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Пол </w:t>
      </w:r>
    </w:p>
    <w:p>
      <w:pPr>
        <w:pStyle w:val="Normal"/>
        <w:spacing w:before="0" w:after="0"/>
        <w:jc w:val="center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(в % от числа опрошенных) </w:t>
      </w:r>
    </w:p>
    <w:tbl>
      <w:tblPr>
        <w:tblW w:w="957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785"/>
        <w:gridCol w:w="4785"/>
      </w:tblGrid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Пол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%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Женский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Мужской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</w:tbl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Более половины респондентов являются гражданами трудоспособного возраста, в настоящее время активно ведущие свою трудовую деятельность. 1/3 часть респондентов представлена представителями только начинающих свою трудовую деятельность молодыми людьми и гражданами предпенсионного и пенсионного возраста.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</w:t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Возраст </w:t>
      </w:r>
    </w:p>
    <w:p>
      <w:pPr>
        <w:pStyle w:val="Normal"/>
        <w:spacing w:before="0" w:after="0"/>
        <w:jc w:val="center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(в % от числа опрошенных) </w:t>
      </w:r>
    </w:p>
    <w:tbl>
      <w:tblPr>
        <w:tblW w:w="957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785"/>
        <w:gridCol w:w="4785"/>
      </w:tblGrid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Возраст 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%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20 лет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21-35 лет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36-50 лет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Старше 50 лет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</w:tbl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Более 2/3 опрошенных имеют образование, необходимое для трудовой занятости. Гораздо меньшее количество респондентов только окончили школу, либо окончат ее в ближайшие два года.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</w:t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Уровень образования </w:t>
      </w:r>
    </w:p>
    <w:p>
      <w:pPr>
        <w:pStyle w:val="Normal"/>
        <w:spacing w:before="0" w:after="0"/>
        <w:jc w:val="center"/>
        <w:rPr>
          <w:rFonts w:ascii="Times New Roman" w:hAnsi="Times New Roman"/>
          <w:i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(в % от числа опрошенных) </w:t>
      </w:r>
    </w:p>
    <w:tbl>
      <w:tblPr>
        <w:tblW w:w="957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785"/>
        <w:gridCol w:w="4785"/>
      </w:tblGrid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Образование 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%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Высшее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Среднее специальное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Среднее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>
        <w:trPr/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Общее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</w:tbl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Анализ полученных данных</w:t>
      </w:r>
    </w:p>
    <w:p>
      <w:pPr>
        <w:pStyle w:val="Normal"/>
        <w:spacing w:before="0" w:after="0"/>
        <w:ind w:firstLine="708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spacing w:lineRule="auto" w:line="360" w:before="0" w:after="0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2.1. Востребованность муниципальных учреждений культуры у населения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По результатам проведенного опроса выяснилось, что наиболее востребованным среди населения является центр культуры «Сибирь» (78%), второе место занимает районная библиотека (44%), на третьем месте детская школа искусств (37%), замыкает четверку лидеров музей Советского района (35%). При этом 6% опрошенных указали, что вообще не посещают никаких учреждений. И только 1% отметили, что посещают другие учреждения и частные организации, оказывающие социально-культурные услуги.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Рис.1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1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Из числа ответивших на вопрос, какие частные организации они посещают, ответы распределились следующим образом – центр «Созвездие» и студия «Ля минор» по 3%, кинотеатр «Луч» - 2%, городской парк, клуб «Метроном», центры «Солнышко» и «Ирида», студия «Траектория» - по 1%.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Из данных анкетирования можно сделать вывод о частоте посещений муниципальных учреждений культуры. Ответы на этот вопрос представлены на рис. 2, из которого видно, что частота посещений учреждений культуры является постоянной.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 2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2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Основными причинами, которые не позволяют посещать муниципальные учреждения культуры, были названы следующие – невозможность посещать учреждения в связи с нехваткой времени из-за занятости на работе (учебе) – 6%, неинтересно посещать – 2%, невозможность определиться с выбором учреждения из-за нехватки информации и рекламы – 1%.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2.2. Потребность населения в предоставляемых муниципальными учреждениями культуры услугах и оценка их качества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ходе опроса были выявлены оценки населения по следующим показателям – достаточность услуг, которые предоставляют муниципальные учреждения культуры, степень удовлетворенности услугами, качественные изменения в предоставлении услуг и соответствие ценовой политики к качеству услуг.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Из полученных данных видно, что для 66% ответивших достаточно того ассортимента услуг, которые предоставляют учреждения в настоящее время. 12% респондентов отмечают, что ассортимент услуг столь разнообразен, что значительно превышает потребности в них. 4% отметили, что перечень услуг совсем не удовлетворяет их потребности. Каждый второй опрошенный затруднились с ответом на этот вопрос (рис.3)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Рис.3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3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Исходя из этих оценок, определяется степень удовлетворенности качеством услуг. 44% ответивших полностью удовлетворены качеством получаемых услуг, 41% удовлетворены в большей степени. 4% респондентов в большей степени неудовлетворенны качеством услуг, 2% - полностью неудовлетворенны. 9% затруднились с оценкой (рис.4).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Рис.4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4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При этом 65% ответивших считают, что качество социально-культурных услуг за последние три года в Советском районе значительно улучшилось, 17% - осталось на прежнем уровне. Только 1% отметили, что качество услуг ухудшилось. 17% затруднились ответить на этот вопрос. (Рис. 5)  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Рис.5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5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отношении платных услуг 64% ответивших считают, что цены полностью соответствуют качеству услуг. 6% отмечают, что цены на услуги завышены. 4% считают, что цены занижены.  2% отметили, что цены низкие, как впрочем, и качество услуг. 24% затруднились ответить. (рис. 6)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Рис.6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6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При этом 65% считают, что дополнительные новые услуги должны оказываться на бесплатной основе, 12% - на платной. 23% не смогли выбрать подходящий ответ на этот вопрос.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В анкетном опросе респондентами были выбраны получаемые ими услуги из перечня видов услуг, которые на данный момент оказывают муниципальные учреждения культуры, а также были предложены новые виды и формы работы с населением, указаны трудности при получении социально-культурных услуг в учреждениях. 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Муниципальное бюджетное учреждение культуры «Советский районный центр культуры и досуга «Сибирь»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районном центре культуры «Сибирь» наиболее востребованными являются услуги, представленные на рисунке 7.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 7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372735" cy="3476625"/>
            <wp:effectExtent l="0" t="0" r="0" b="0"/>
            <wp:docPr id="7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Один человек отметил, что хотел бы чаще видеть цирковые представления на базе центра культуры «Сибирь».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Респонденты также отметили мероприятия учреждения, которые им больше всего понравились. Ответы на этот вопрос распределились следующим образом - празднование Дня Советского района и Дня Победы – по 5%. Остальные мероприятия были отмечены в диапазоне от 2 до 3% - детские концерты и спектакли, новогодние мероприятия, юбилейные концерты коллективов, «Вороний день», фестиваль духовых оркестров «Фанфары Победы», конкурс ди-джеев, дискотеки, работа молодежного клуба «МИР», фестивали «Театральная весна» и «Рябиновые бусы», конкурс «Серебристый карась», фестиваль «Шаг навстречу».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При этом 63% ответивших не испытывали никаких трудностей при получении услуг в центре культуры «Сибирь».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Из 37% респондентов, испытавших определенные трудности при получении услуг, 93% отмечают, что это связано с необходимостью капитального ремонта или строительства нового здания центра культуры, 2% считают, что на мероприятиях необходима организация работы буфета, по 1% отметили невозможность оплатить билеты по банковской карте и неудобство проведения детских мероприятий в вечернее время.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На вопрос о дополнительных услугах, которые бы хотели получать жители на базе центра культуры «Сибирь, ответы были в незначительной степени и варьируются в диапазоне от 2 до 4%. Среди этих ответов, помимо пожеланий проводить больше мероприятий для различных категорий населения, необходимо организовать работу буфета, клуба для женщин, клуба знакомств,  вечеров отдыха «Кому за 30», кружков уличных танцев и танцев для взрослых и пожилых людей, игровых стационарных комплексов для детей, платных детских студий, мастер-классов для различных категорий населения.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Муниципальное бюджетное учреждение 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«Межпоселенческая библиотека Советского района» 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В межпоселенческой библиотеке Советского района наиболее востребованные услуги у респондентов представлены на рисунке 8.</w:t>
      </w:r>
    </w:p>
    <w:p>
      <w:pPr>
        <w:pStyle w:val="NoSpacing"/>
        <w:spacing w:lineRule="auto" w:line="36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Рис.8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596890" cy="3484880"/>
            <wp:effectExtent l="0" t="0" r="0" b="0"/>
            <wp:docPr id="8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Наиболее понравившимися мероприятиями, проводимыми сотрудниками библиотеки, были отмечены следующие – литературные салоны (20%), «Библиосумерки» (15%), остальные мероприятия были отмечены в незначительной степени (от 2 до 5%) – 1 сентября, библионочь, встречи с поэтами, мероприятия для детей, день именинника, квест-игры, творческие вечера, конкурс «Синяя птица», конкурс чтецов к 9 мая, ассортимент книг, фестиваль «Звезды Арантура», работа программы «Гарант» и сайта «Госуслуги».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При этом 56% ответивших не испытали никаких трудностей при получении услуг.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Из 44% респондентов, которые отметили затруднения, 95% считают, что это связано со старым помещением и отсутствием необходимого пространства для комфортного получения услуг, 5% отметили отсутствие нужной литературы.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Респонденты отмечают, что из новых услуг хотели бы получать следующие (от 1 до 3%) – выставки необычных экземпляров книг, проведение других конкурсов, клубы настольных игр (в т.ч. шахматный клуб), мастер-классы поэтов и писателей, массовые мероприятия, развлекательные мероприятия для молодежи, флешмобы (в т.ч. флешмоб сотрудников), шоу-программы, школы раннего развития.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Муниципальное бюджетное учреждение культуры 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«Музей истории и ремесел Советского района»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Наиболее востребованные услуги музея Советского района представлены на рисунке 9.</w:t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Рис.9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9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Больше всего посетителям музея запомнились следующие мероприятия (от 1до 5%) – выставка восковых фигур, выставка ко Дню Советского района, выставки художников, встречи с творческими людьми, мастер – классы, Ночь в музее, ярмарка «Город мастеров».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45% ответивших отмечают, что при получении услуг, никаких трудностей не испытывали.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Из 55%, столкнувшихся с трудностями, 100% указали, что это связано с технической базой учреждения – отсутствием нормального помещения (тесно, холодно, старое здание).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качестве дополнительных услуг респондентами были отмечены (по 1%) – проведение большего количества выставок, мероприятий для детей, мастер-классов, в т.ч. для коренных малочисленных народов Севера.</w:t>
      </w:r>
    </w:p>
    <w:p>
      <w:pPr>
        <w:pStyle w:val="NoSpacing"/>
        <w:spacing w:lineRule="auto" w:line="360"/>
        <w:ind w:firstLine="708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Муниципальное бюджетное учреждение дополнительного образования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«Советская детская школа искусств»</w:t>
      </w:r>
    </w:p>
    <w:p>
      <w:pPr>
        <w:pStyle w:val="NoSpacing"/>
        <w:spacing w:lineRule="auto" w: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  <w:t>Наиболее востребованные услуги у посетителей школы искусств представлены на рисунке 10.</w:t>
      </w:r>
    </w:p>
    <w:p>
      <w:pPr>
        <w:pStyle w:val="NoSpacing"/>
        <w:spacing w:lineRule="auto" w:line="36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Рис. 10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/>
        <w:drawing>
          <wp:inline distT="0" distB="0" distL="0" distR="0">
            <wp:extent cx="5486400" cy="3200400"/>
            <wp:effectExtent l="0" t="0" r="0" b="0"/>
            <wp:docPr id="10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Наиболее запомнившимися мероприятиями школы искусств  респонденты отметили следующие (от 2 до 5%) – благотворительный концерт, пасхальный концерт, выставки учащихся школы, отчетные концерты отделений школы, новогодние мероприятия, летняя площадка, концерт юных исполнителей.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 этом 99% ответивших отметили, что никаких трудностей не испытали, для 1% трудностью является невозможность попасть на обучение на бюджетной основе, 1% ответивших отметили, что в здании школы очень душно.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Из дополнительных услуг ответившие хотели бы получать следующие (по 1%) – обучение хореографии малышей на бесплатной основе, мастер-класс знаменитых хореографов, обучение игре на музыкальных инструментах взрослых. 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Заключение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Результаты анкетирования показали, что муниципальные учреждения культуры, подведомственные Департаменту социального развития администрации Советского района, являются востребованными. Степень востребованности составляет 50%.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 этом, часть опрошенных посещают и другие учреждения и частные организации, оказывающие подобные услуги – центр «Созвездие», городской центр культуры и спорта, частные студии «Ля минор» и «Траектория».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Степень посещаемости учреждений культуры достаточно высока и составляет 92%. Основной причиной, по которым у жителей нет возможности посещать учреждения культуры, является нехватка времени в связи с трудовой занятостью.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Удовлетворенность жителей качеством получаемых услуг и их ассортиментом является высокой (41%), т.е. каждый второй опрошенный удовлетворен перечнем предоставляемых услуг и их качеством. Хотя 12% респондентов не смогли определиться с оценками.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Примечательно, что 3/4 опрошенных отметили, что качество услуг за последние три года значительно улучшилось. 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64% респондентов оценили стоимость культурных услуг в учреждениях культуры как адекватную, но, при этом, каждый четвертый житель затруднился оценить ценовую политику предоставляемых услуг.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целом, по результатам анкетного опроса, жителям понравились мероприятия учреждений культуры, которые направлены на организацию досуга различных категорий населения, массовые мероприятия, разные по жанровой и тематической направленности фестивали и конкурсы.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Респонденты предлагали новые формы работы, которые в целом расширяют и дополняют перечень уже предоставляемых в учреждениях культурных услуг (введение новых клубных формирований и любительских объединений, организацию конкурсов и массовых мероприятий и т.п., либо перевод части предоставляемых услуг на бесплатную основу получения).</w:t>
      </w:r>
    </w:p>
    <w:p>
      <w:pPr>
        <w:pStyle w:val="NoSpacing"/>
        <w:spacing w:lineRule="auto" w:line="36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При этом, при вводе новых дополнительных услуг, 65% опрошенных считают, что они должны предоставляться бесплатно. 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lineRule="auto" w:line="360"/>
        <w:jc w:val="center"/>
        <w:rPr/>
      </w:pPr>
      <w:r>
        <w:rPr/>
      </w:r>
    </w:p>
    <w:sectPr>
      <w:footerReference w:type="default" r:id="rId12"/>
      <w:type w:val="nextPage"/>
      <w:pgSz w:w="11906" w:h="16838"/>
      <w:pgMar w:left="1701" w:right="850" w:header="0" w:top="1134" w:footer="708" w:bottom="1134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30715561"/>
    </w:sdtPr>
    <w:sdtContent>
      <w:p>
        <w:pPr>
          <w:pStyle w:val="Style23"/>
          <w:jc w:val="right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15</w:t>
        </w:r>
        <w:r>
          <w:rPr/>
          <w:fldChar w:fldCharType="end"/>
        </w:r>
      </w:p>
    </w:sdtContent>
  </w:sdt>
  <w:p>
    <w:pPr>
      <w:pStyle w:val="Style23"/>
      <w:rPr/>
    </w:pPr>
    <w:r>
      <w:rPr/>
    </w:r>
  </w:p>
</w:ftr>
</file>

<file path=word/settings.xml><?xml version="1.0" encoding="utf-8"?>
<w:settings xmlns:w="http://schemas.openxmlformats.org/wordprocessingml/2006/main">
  <w:zoom w:percent="11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c1757"/>
    <w:pPr>
      <w:widowControl/>
      <w:bidi w:val="0"/>
      <w:spacing w:lineRule="auto" w:line="276" w:before="0" w:after="20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link w:val="a4"/>
    <w:uiPriority w:val="99"/>
    <w:semiHidden/>
    <w:qFormat/>
    <w:rsid w:val="00241ccf"/>
    <w:rPr/>
  </w:style>
  <w:style w:type="character" w:styleId="Style15" w:customStyle="1">
    <w:name w:val="Нижний колонтитул Знак"/>
    <w:basedOn w:val="DefaultParagraphFont"/>
    <w:link w:val="a6"/>
    <w:uiPriority w:val="99"/>
    <w:qFormat/>
    <w:rsid w:val="00241ccf"/>
    <w:rPr/>
  </w:style>
  <w:style w:type="character" w:styleId="Style16" w:customStyle="1">
    <w:name w:val="Текст выноски Знак"/>
    <w:basedOn w:val="DefaultParagraphFont"/>
    <w:link w:val="a8"/>
    <w:uiPriority w:val="99"/>
    <w:semiHidden/>
    <w:qFormat/>
    <w:rsid w:val="00eb0324"/>
    <w:rPr>
      <w:rFonts w:ascii="Tahoma" w:hAnsi="Tahoma" w:eastAsia="Calibri" w:cs="Tahoma"/>
      <w:sz w:val="16"/>
      <w:szCs w:val="16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NoSpacing">
    <w:name w:val="No Spacing"/>
    <w:uiPriority w:val="1"/>
    <w:qFormat/>
    <w:rsid w:val="00241ccf"/>
    <w:pPr>
      <w:widowControl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22">
    <w:name w:val="Header"/>
    <w:basedOn w:val="Normal"/>
    <w:link w:val="a5"/>
    <w:uiPriority w:val="99"/>
    <w:semiHidden/>
    <w:unhideWhenUsed/>
    <w:rsid w:val="00241ccf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3">
    <w:name w:val="Footer"/>
    <w:basedOn w:val="Normal"/>
    <w:link w:val="a7"/>
    <w:uiPriority w:val="99"/>
    <w:unhideWhenUsed/>
    <w:rsid w:val="00241ccf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a9"/>
    <w:uiPriority w:val="99"/>
    <w:semiHidden/>
    <w:unhideWhenUsed/>
    <w:qFormat/>
    <w:rsid w:val="00eb032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chart" Target="charts/chart1.xml"/><Relationship Id="rId3" Type="http://schemas.openxmlformats.org/officeDocument/2006/relationships/chart" Target="charts/chart2.xml"/><Relationship Id="rId4" Type="http://schemas.openxmlformats.org/officeDocument/2006/relationships/chart" Target="charts/chart3.xml"/><Relationship Id="rId5" Type="http://schemas.openxmlformats.org/officeDocument/2006/relationships/chart" Target="charts/chart4.xml"/><Relationship Id="rId6" Type="http://schemas.openxmlformats.org/officeDocument/2006/relationships/chart" Target="charts/chart5.xml"/><Relationship Id="rId7" Type="http://schemas.openxmlformats.org/officeDocument/2006/relationships/chart" Target="charts/chart6.xml"/><Relationship Id="rId8" Type="http://schemas.openxmlformats.org/officeDocument/2006/relationships/chart" Target="charts/chart7.xml"/><Relationship Id="rId9" Type="http://schemas.openxmlformats.org/officeDocument/2006/relationships/chart" Target="charts/chart8.xml"/><Relationship Id="rId10" Type="http://schemas.openxmlformats.org/officeDocument/2006/relationships/chart" Target="charts/chart9.xml"/><Relationship Id="rId11" Type="http://schemas.openxmlformats.org/officeDocument/2006/relationships/chart" Target="charts/chart10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
</Relationships>
</file>

<file path=word/charts/_rels/chart1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1.xlsx"/>
</Relationships>
</file>

<file path=word/charts/_rels/chart2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2.xlsx"/>
</Relationships>
</file>

<file path=word/charts/_rels/chart3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3.xlsx"/>
</Relationships>
</file>

<file path=word/charts/_rels/chart4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4.xlsx"/>
</Relationships>
</file>

<file path=word/charts/_rels/chart5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5.xlsx"/>
</Relationships>
</file>

<file path=word/charts/_rels/chart6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6.xlsx"/>
</Relationships>
</file>

<file path=word/charts/_rels/chart7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7.xlsx"/>
</Relationships>
</file>

<file path=word/charts/_rels/chart8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8.xlsx"/>
</Relationships>
</file>

<file path=word/charts/_rels/chart9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9.xlsx"/>
</Relationships>
</file>

<file path=word/charts/_rels/chart10.xml.rels><?xml version="1.0" encoding="UTF-8"?>
<Relationships xmlns="http://schemas.openxmlformats.org/package/2006/relationships"><Relationship Id="rId1" Type="http://schemas.openxmlformats.org/officeDocument/2006/relationships/package" Target="../embeddings/_____Microsoft_Office_Excel10.xlsx"/>
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Востребованность учреждений культуры (частота ответов)</a:t>
            </a:r>
          </a:p>
        </c:rich>
      </c:tx>
      <c:overlay val="0"/>
      <c:spPr>
        <a:noFill/>
        <a:ln>
          <a:noFill/>
        </a:ln>
      </c:spPr>
    </c:title>
    <c:autoTitleDeleted val="0"/>
    <c:view3D>
      <c:rotX val="30"/>
      <c:rotY val="0"/>
      <c:rAngAx val="0"/>
      <c:perspective val="30"/>
    </c:view3D>
    <c:floor>
      <c:spPr>
        <a:solidFill>
          <a:srgbClr val="d9d9d9"/>
        </a:solidFill>
        <a:ln>
          <a:noFill/>
        </a:ln>
      </c:spPr>
    </c:floor>
    <c:sideWall>
      <c:spPr>
        <a:solidFill>
          <a:srgbClr val="d9d9d9"/>
        </a:solidFill>
        <a:ln>
          <a:noFill/>
        </a:ln>
      </c:spPr>
    </c:sideWall>
    <c:backWall>
      <c:spPr>
        <a:solidFill>
          <a:srgbClr val="d9d9d9"/>
        </a:solidFill>
        <a:ln>
          <a:noFill/>
        </a:ln>
      </c:spPr>
    </c:backWall>
    <c:plotArea>
      <c:pie3DChart>
        <c:varyColors val="1"/>
        <c:ser>
          <c:idx val="0"/>
          <c:order val="0"/>
          <c:tx>
            <c:strRef>
              <c:f>label 0</c:f>
              <c:strCache>
                <c:ptCount val="1"/>
                <c:pt idx="0">
                  <c:v>Востребованность учреждений культуры (частота ответов)</c:v>
                </c:pt>
              </c:strCache>
            </c:strRef>
          </c:tx>
          <c:spPr>
            <a:solidFill>
              <a:srgbClr val="4f81bd"/>
            </a:solidFill>
            <a:ln>
              <a:noFill/>
            </a:ln>
          </c:spPr>
          <c:explosion val="24"/>
          <c:dPt>
            <c:idx val="0"/>
            <c:explosion val="24"/>
            <c:spPr>
              <a:solidFill>
                <a:srgbClr val="4672a8"/>
              </a:solidFill>
              <a:ln>
                <a:noFill/>
              </a:ln>
            </c:spPr>
          </c:dPt>
          <c:dPt>
            <c:idx val="1"/>
            <c:explosion val="24"/>
            <c:spPr>
              <a:solidFill>
                <a:srgbClr val="ab4744"/>
              </a:solidFill>
              <a:ln>
                <a:noFill/>
              </a:ln>
            </c:spPr>
          </c:dPt>
          <c:dPt>
            <c:idx val="2"/>
            <c:explosion val="24"/>
            <c:spPr>
              <a:solidFill>
                <a:srgbClr val="8aa64f"/>
              </a:solidFill>
              <a:ln>
                <a:noFill/>
              </a:ln>
            </c:spPr>
          </c:dPt>
          <c:dPt>
            <c:idx val="3"/>
            <c:explosion val="24"/>
            <c:spPr>
              <a:solidFill>
                <a:srgbClr val="725990"/>
              </a:solidFill>
              <a:ln>
                <a:noFill/>
              </a:ln>
            </c:spPr>
          </c:dPt>
          <c:dPt>
            <c:idx val="4"/>
            <c:explosion val="24"/>
            <c:spPr>
              <a:solidFill>
                <a:srgbClr val="4299b0"/>
              </a:solidFill>
              <a:ln>
                <a:noFill/>
              </a:ln>
            </c:spPr>
          </c:dPt>
          <c:dPt>
            <c:idx val="5"/>
            <c:explosion val="24"/>
            <c:spPr>
              <a:solidFill>
                <a:srgbClr val="dc853e"/>
              </a:solidFill>
              <a:ln>
                <a:noFill/>
              </a:ln>
            </c:spPr>
          </c:dPt>
          <c:dPt>
            <c:idx val="6"/>
            <c:explosion val="24"/>
            <c:spPr>
              <a:solidFill>
                <a:srgbClr val="93a9ce"/>
              </a:solidFill>
              <a:ln>
                <a:noFill/>
              </a:ln>
            </c:spPr>
          </c:dPt>
          <c:dPt>
            <c:idx val="7"/>
            <c:explosion val="24"/>
            <c:spPr>
              <a:solidFill>
                <a:srgbClr val="d09493"/>
              </a:solidFill>
              <a:ln>
                <a:noFill/>
              </a:ln>
            </c:spPr>
          </c:dPt>
          <c:dLbls>
            <c:numFmt formatCode="General" sourceLinked="1"/>
            <c:dLbl>
              <c:idx val="0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3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4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5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6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7"/>
              <c:txPr>
                <a:bodyPr/>
                <a:lstStyle/>
                <a:p>
                  <a:pPr>
                    <a:defRPr b="1" sz="16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1" sz="16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8"/>
                <c:pt idx="0">
                  <c:v>ЦК </c:v>
                </c:pt>
                <c:pt idx="1">
                  <c:v/>
                </c:pt>
                <c:pt idx="2">
                  <c:v/>
                </c:pt>
                <c:pt idx="3">
                  <c:v>библиотека</c:v>
                </c:pt>
                <c:pt idx="4">
                  <c:v>ДШИ</c:v>
                </c:pt>
                <c:pt idx="5">
                  <c:v>музей</c:v>
                </c:pt>
                <c:pt idx="6">
                  <c:v>частные организации</c:v>
                </c:pt>
                <c:pt idx="7">
                  <c:v>не посещают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8"/>
                <c:pt idx="0">
                  <c:v>384</c:v>
                </c:pt>
                <c:pt idx="1">
                  <c:v>217</c:v>
                </c:pt>
                <c:pt idx="2">
                  <c:v>185</c:v>
                </c:pt>
                <c:pt idx="3">
                  <c:v>171</c:v>
                </c:pt>
                <c:pt idx="4">
                  <c:v>6</c:v>
                </c:pt>
                <c:pt idx="5">
                  <c:v>30</c:v>
                </c:pt>
                <c:pt idx="6">
                  <c:v/>
                </c:pt>
                <c:pt idx="7">
                  <c:v/>
                </c:pt>
              </c:numCache>
            </c:numRef>
          </c:val>
        </c:ser>
      </c:pie3DChart>
    </c:plotArea>
    <c:legend>
      <c:legendPos val="r"/>
      <c:overlay val="0"/>
      <c:spPr>
        <a:noFill/>
        <a:ln>
          <a:noFill/>
        </a:ln>
      </c:spPr>
      <c:txPr>
        <a:bodyPr/>
        <a:lstStyle/>
        <a:p>
          <a:pPr>
            <a:defRPr b="0" sz="1000" spc="-1" strike="noStrike">
              <a:solidFill>
                <a:srgbClr val="000000"/>
              </a:solidFill>
              <a:latin typeface="Calibri"/>
            </a:defRPr>
          </a:pPr>
        </a:p>
      </c:txPr>
    </c:legend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частота посещений УК</a:t>
            </a:r>
          </a:p>
        </c:rich>
      </c:tx>
      <c:overlay val="0"/>
      <c:spPr>
        <a:noFill/>
        <a:ln>
          <a:noFill/>
        </a:ln>
      </c:spPr>
    </c:title>
    <c:autoTitleDeleted val="0"/>
    <c:view3D>
      <c:rotX val="15"/>
      <c:rotY val="20"/>
      <c:rAngAx val="1"/>
      <c:perspective val="30"/>
    </c:view3D>
    <c:floor>
      <c:spPr>
        <a:noFill/>
        <a:ln w="9360">
          <a:solidFill>
            <a:srgbClr val="878787"/>
          </a:solidFill>
          <a:round/>
        </a:ln>
      </c:spPr>
    </c:floor>
    <c:sideWall>
      <c:spPr>
        <a:noFill/>
        <a:ln w="9360">
          <a:solidFill>
            <a:srgbClr val="878787"/>
          </a:solidFill>
          <a:round/>
        </a:ln>
      </c:spPr>
    </c:sideWall>
    <c:backWall>
      <c:spPr>
        <a:noFill/>
        <a:ln w="9360">
          <a:solidFill>
            <a:srgbClr val="878787"/>
          </a:solidFill>
          <a:round/>
        </a:ln>
      </c:spPr>
    </c:backWall>
    <c:plotArea>
      <c:bar3D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частота посещений УК</c:v>
                </c:pt>
              </c:strCache>
            </c:strRef>
          </c:tx>
          <c:spPr>
            <a:solidFill>
              <a:srgbClr val="4bacc6"/>
            </a:solidFill>
            <a:ln>
              <a:noFill/>
            </a:ln>
          </c:spPr>
          <c:invertIfNegative val="0"/>
          <c:dLbls>
            <c:numFmt formatCode="0%" sourceLinked="1"/>
            <c:txPr>
              <a:bodyPr/>
              <a:lstStyle/>
              <a:p>
                <a:pPr>
                  <a:defRPr b="1" sz="11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6"/>
                <c:pt idx="0">
                  <c:v>несколько раз в неделю</c:v>
                </c:pt>
                <c:pt idx="1">
                  <c:v>один раз в неделю</c:v>
                </c:pt>
                <c:pt idx="2">
                  <c:v>один-два раза в месяц</c:v>
                </c:pt>
                <c:pt idx="3">
                  <c:v>несколько раз в год</c:v>
                </c:pt>
                <c:pt idx="4">
                  <c:v>посетил впервые</c:v>
                </c:pt>
                <c:pt idx="5">
                  <c:v>не посещаю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6"/>
                <c:pt idx="0">
                  <c:v>0.28</c:v>
                </c:pt>
                <c:pt idx="1">
                  <c:v>0.1</c:v>
                </c:pt>
                <c:pt idx="2">
                  <c:v>0.27</c:v>
                </c:pt>
                <c:pt idx="3">
                  <c:v>0.27</c:v>
                </c:pt>
                <c:pt idx="4">
                  <c:v>0.01</c:v>
                </c:pt>
                <c:pt idx="5">
                  <c:v>0.07</c:v>
                </c:pt>
              </c:numCache>
            </c:numRef>
          </c:val>
        </c:ser>
        <c:gapWidth val="150"/>
        <c:shape val="cylinder"/>
        <c:axId val="11142958"/>
        <c:axId val="38276705"/>
        <c:axId val="0"/>
      </c:bar3DChart>
      <c:catAx>
        <c:axId val="11142958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1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38276705"/>
        <c:crosses val="autoZero"/>
        <c:auto val="1"/>
        <c:lblAlgn val="ctr"/>
        <c:lblOffset val="100"/>
      </c:catAx>
      <c:valAx>
        <c:axId val="38276705"/>
        <c:scaling>
          <c:orientation val="minMax"/>
        </c:scaling>
        <c:delete val="1"/>
        <c:axPos val="l"/>
        <c:numFmt formatCode="0%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1142958"/>
        <c:crosses val="autoZero"/>
      </c:valAx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Достаточность услуг</a:t>
            </a:r>
          </a:p>
        </c:rich>
      </c:tx>
      <c:overlay val="0"/>
      <c:spPr>
        <a:noFill/>
        <a:ln>
          <a:noFill/>
        </a:ln>
      </c:spPr>
    </c:title>
    <c:autoTitleDeleted val="0"/>
    <c:view3D>
      <c:rotX val="15"/>
      <c:rotY val="20"/>
      <c:rAngAx val="1"/>
      <c:perspective val="30"/>
    </c:view3D>
    <c:floor>
      <c:spPr>
        <a:solidFill>
          <a:srgbClr val="fdeee8"/>
        </a:solidFill>
        <a:ln w="9360">
          <a:solidFill>
            <a:srgbClr val="878787"/>
          </a:solidFill>
          <a:round/>
        </a:ln>
      </c:spPr>
    </c:floor>
    <c:sideWall>
      <c:spPr>
        <a:solidFill>
          <a:srgbClr val="fdeee8"/>
        </a:solidFill>
        <a:ln w="9360">
          <a:solidFill>
            <a:srgbClr val="878787"/>
          </a:solidFill>
          <a:round/>
        </a:ln>
      </c:spPr>
    </c:sideWall>
    <c:backWall>
      <c:spPr>
        <a:solidFill>
          <a:srgbClr val="fdeee8"/>
        </a:solidFill>
        <a:ln w="9360">
          <a:solidFill>
            <a:srgbClr val="878787"/>
          </a:solidFill>
          <a:round/>
        </a:ln>
      </c:spPr>
    </c:backWall>
    <c:plotArea>
      <c:bar3DChart>
        <c:barDir val="bar"/>
        <c:grouping val="stack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Достаточность услуг</c:v>
                </c:pt>
              </c:strCache>
            </c:strRef>
          </c:tx>
          <c:spPr>
            <a:solidFill>
              <a:srgbClr val="f79646"/>
            </a:solidFill>
            <a:ln w="9360">
              <a:solidFill>
                <a:srgbClr val="b46b2e"/>
              </a:solidFill>
              <a:round/>
            </a:ln>
          </c:spPr>
          <c:invertIfNegative val="0"/>
          <c:dPt>
            <c:idx val="0"/>
            <c:invertIfNegative val="0"/>
            <c:spPr>
              <a:solidFill>
                <a:srgbClr val="f79646"/>
              </a:solidFill>
              <a:ln w="9360">
                <a:solidFill>
                  <a:srgbClr val="b46b2e"/>
                </a:solidFill>
                <a:round/>
              </a:ln>
            </c:spPr>
          </c:dPt>
          <c:dPt>
            <c:idx val="1"/>
            <c:invertIfNegative val="0"/>
            <c:spPr>
              <a:solidFill>
                <a:srgbClr val="f79646"/>
              </a:solidFill>
              <a:ln w="9360">
                <a:solidFill>
                  <a:srgbClr val="b46b2e"/>
                </a:solidFill>
                <a:round/>
              </a:ln>
            </c:spPr>
          </c:dPt>
          <c:dPt>
            <c:idx val="2"/>
            <c:invertIfNegative val="0"/>
            <c:spPr>
              <a:solidFill>
                <a:srgbClr val="f79646"/>
              </a:solidFill>
              <a:ln w="9360">
                <a:solidFill>
                  <a:srgbClr val="b46b2e"/>
                </a:solidFill>
                <a:round/>
              </a:ln>
            </c:spPr>
          </c:dPt>
          <c:dPt>
            <c:idx val="3"/>
            <c:invertIfNegative val="0"/>
            <c:spPr>
              <a:solidFill>
                <a:srgbClr val="f79646"/>
              </a:solidFill>
              <a:ln w="9360">
                <a:solidFill>
                  <a:srgbClr val="b46b2e"/>
                </a:solidFill>
                <a:round/>
              </a:ln>
            </c:spPr>
          </c:dPt>
          <c:dLbls>
            <c:numFmt formatCode="General" sourceLinked="1"/>
            <c:dLbl>
              <c:idx val="0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3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1" sz="14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4"/>
                <c:pt idx="0">
                  <c:v>не достаточен</c:v>
                </c:pt>
                <c:pt idx="1">
                  <c:v>достаточен</c:v>
                </c:pt>
                <c:pt idx="2">
                  <c:v>превышает потребности</c:v>
                </c:pt>
                <c:pt idx="3">
                  <c:v>затрудняюсь ответить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4</c:v>
                </c:pt>
                <c:pt idx="1">
                  <c:v>66</c:v>
                </c:pt>
                <c:pt idx="2">
                  <c:v>12</c:v>
                </c:pt>
                <c:pt idx="3">
                  <c:v>18</c:v>
                </c:pt>
              </c:numCache>
            </c:numRef>
          </c:val>
        </c:ser>
        <c:gapWidth val="150"/>
        <c:shape val="cylinder"/>
        <c:axId val="50142122"/>
        <c:axId val="23602928"/>
        <c:axId val="0"/>
      </c:bar3DChart>
      <c:catAx>
        <c:axId val="50142122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3602928"/>
        <c:crosses val="autoZero"/>
        <c:auto val="1"/>
        <c:lblAlgn val="ctr"/>
        <c:lblOffset val="100"/>
      </c:catAx>
      <c:valAx>
        <c:axId val="23602928"/>
        <c:scaling>
          <c:orientation val="minMax"/>
        </c:scaling>
        <c:delete val="1"/>
        <c:axPos val="l"/>
        <c:numFmt formatCode="General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0142122"/>
        <c:crosses val="autoZero"/>
      </c:valAx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Удовлетворенность качеством услуг</a:t>
            </a:r>
          </a:p>
        </c:rich>
      </c:tx>
      <c:overlay val="0"/>
      <c:spPr>
        <a:noFill/>
        <a:ln>
          <a:noFill/>
        </a:ln>
      </c:spPr>
    </c:title>
    <c:autoTitleDeleted val="0"/>
    <c:plotArea>
      <c:pieChart>
        <c:varyColors val="1"/>
        <c:ser>
          <c:idx val="0"/>
          <c:order val="0"/>
          <c:tx>
            <c:strRef>
              <c:f>label 0</c:f>
              <c:strCache>
                <c:ptCount val="1"/>
                <c:pt idx="0">
                  <c:v>Удовлетворенность качеством услуг</c:v>
                </c:pt>
              </c:strCache>
            </c:strRef>
          </c:tx>
          <c:spPr>
            <a:solidFill>
              <a:srgbClr val="4f81bd"/>
            </a:solidFill>
            <a:ln>
              <a:noFill/>
            </a:ln>
          </c:spPr>
          <c:explosion val="0"/>
          <c:dPt>
            <c:idx val="0"/>
            <c:spPr>
              <a:solidFill>
                <a:srgbClr val="4f81bd"/>
              </a:solidFill>
              <a:ln>
                <a:noFill/>
              </a:ln>
            </c:spPr>
          </c:dPt>
          <c:dPt>
            <c:idx val="1"/>
            <c:spPr>
              <a:solidFill>
                <a:srgbClr val="c0504d"/>
              </a:solidFill>
              <a:ln>
                <a:noFill/>
              </a:ln>
            </c:spPr>
          </c:dPt>
          <c:dPt>
            <c:idx val="2"/>
            <c:spPr>
              <a:solidFill>
                <a:srgbClr val="9bbb59"/>
              </a:solidFill>
              <a:ln>
                <a:noFill/>
              </a:ln>
            </c:spPr>
          </c:dPt>
          <c:dPt>
            <c:idx val="3"/>
            <c:spPr>
              <a:solidFill>
                <a:srgbClr val="8064a2"/>
              </a:solidFill>
              <a:ln>
                <a:noFill/>
              </a:ln>
            </c:spPr>
          </c:dPt>
          <c:dPt>
            <c:idx val="4"/>
            <c:spPr>
              <a:solidFill>
                <a:srgbClr val="4bacc6"/>
              </a:solidFill>
              <a:ln>
                <a:noFill/>
              </a:ln>
            </c:spPr>
          </c:dPt>
          <c:dLbls>
            <c:numFmt formatCode="General" sourceLinked="1"/>
            <c:dLbl>
              <c:idx val="0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3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4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1" sz="14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полностью удовлетворен</c:v>
                </c:pt>
                <c:pt idx="1">
                  <c:v>скорее удовлетворен</c:v>
                </c:pt>
                <c:pt idx="2">
                  <c:v>скорее неудовлетворен</c:v>
                </c:pt>
                <c:pt idx="3">
                  <c:v>совсем неудовлетврен</c:v>
                </c:pt>
                <c:pt idx="4">
                  <c:v>затрудняюсь ответить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44</c:v>
                </c:pt>
                <c:pt idx="1">
                  <c:v>41</c:v>
                </c:pt>
                <c:pt idx="2">
                  <c:v>4</c:v>
                </c:pt>
                <c:pt idx="3">
                  <c:v>2</c:v>
                </c:pt>
                <c:pt idx="4">
                  <c:v>9</c:v>
                </c:pt>
              </c:numCache>
            </c:numRef>
          </c:val>
        </c:ser>
        <c:firstSliceAng val="0"/>
      </c:pieChart>
      <c:spPr>
        <a:solidFill>
          <a:srgbClr val="ffffff"/>
        </a:solidFill>
        <a:ln>
          <a:noFill/>
        </a:ln>
      </c:spPr>
    </c:plotArea>
    <c:legend>
      <c:legendPos val="r"/>
      <c:overlay val="0"/>
      <c:spPr>
        <a:noFill/>
        <a:ln>
          <a:noFill/>
        </a:ln>
      </c:spPr>
      <c:txPr>
        <a:bodyPr/>
        <a:lstStyle/>
        <a:p>
          <a:pPr>
            <a:defRPr b="0" sz="1000" spc="-1" strike="noStrike">
              <a:solidFill>
                <a:srgbClr val="000000"/>
              </a:solidFill>
              <a:latin typeface="Calibri"/>
            </a:defRPr>
          </a:pPr>
        </a:p>
      </c:txPr>
    </c:legend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Изменения в качестве услуг за 3 года</a:t>
            </a:r>
          </a:p>
        </c:rich>
      </c:tx>
      <c:overlay val="0"/>
      <c:spPr>
        <a:noFill/>
        <a:ln>
          <a:noFill/>
        </a:ln>
      </c:spPr>
    </c:title>
    <c:autoTitleDeleted val="0"/>
    <c:view3D>
      <c:rotX val="15"/>
      <c:rotY val="20"/>
      <c:rAngAx val="1"/>
      <c:perspective val="30"/>
    </c:view3D>
    <c:floor>
      <c:spPr>
        <a:noFill/>
        <a:ln w="9360">
          <a:solidFill>
            <a:srgbClr val="878787"/>
          </a:solidFill>
          <a:round/>
        </a:ln>
      </c:spPr>
    </c:floor>
    <c:sideWall>
      <c:spPr>
        <a:noFill/>
        <a:ln w="9360">
          <a:solidFill>
            <a:srgbClr val="878787"/>
          </a:solidFill>
          <a:round/>
        </a:ln>
      </c:spPr>
    </c:sideWall>
    <c:backWall>
      <c:spPr>
        <a:noFill/>
        <a:ln w="9360">
          <a:solidFill>
            <a:srgbClr val="878787"/>
          </a:solidFill>
          <a:round/>
        </a:ln>
      </c:spPr>
    </c:backWall>
    <c:plotArea>
      <c:bar3D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Изменения в качестве услуг за 3 года</c:v>
                </c:pt>
              </c:strCache>
            </c:strRef>
          </c:tx>
          <c:spPr>
            <a:solidFill>
              <a:srgbClr val="c0504d"/>
            </a:solidFill>
            <a:ln>
              <a:noFill/>
            </a:ln>
          </c:spPr>
          <c:invertIfNegative val="0"/>
          <c:dLbls>
            <c:numFmt formatCode="0%" sourceLinked="1"/>
            <c:txPr>
              <a:bodyPr/>
              <a:lstStyle/>
              <a:p>
                <a:pPr>
                  <a:defRPr b="1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4"/>
                <c:pt idx="0">
                  <c:v>улучшилось</c:v>
                </c:pt>
                <c:pt idx="1">
                  <c:v>осталось на прежнем уровне</c:v>
                </c:pt>
                <c:pt idx="2">
                  <c:v>ухудшилось</c:v>
                </c:pt>
                <c:pt idx="3">
                  <c:v>затрудняюсь ответить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0.650000000000001</c:v>
                </c:pt>
                <c:pt idx="1">
                  <c:v>0.17</c:v>
                </c:pt>
                <c:pt idx="2">
                  <c:v>0.01</c:v>
                </c:pt>
                <c:pt idx="3">
                  <c:v>0.17</c:v>
                </c:pt>
              </c:numCache>
            </c:numRef>
          </c:val>
        </c:ser>
        <c:gapWidth val="150"/>
        <c:shape val="cone"/>
        <c:axId val="18048300"/>
        <c:axId val="57870629"/>
        <c:axId val="0"/>
      </c:bar3DChart>
      <c:catAx>
        <c:axId val="18048300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1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57870629"/>
        <c:crosses val="autoZero"/>
        <c:auto val="1"/>
        <c:lblAlgn val="ctr"/>
        <c:lblOffset val="100"/>
      </c:catAx>
      <c:valAx>
        <c:axId val="57870629"/>
        <c:scaling>
          <c:orientation val="minMax"/>
        </c:scaling>
        <c:delete val="1"/>
        <c:axPos val="l"/>
        <c:numFmt formatCode="0%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8048300"/>
        <c:crosses val="autoZero"/>
      </c:valAx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Оценка стоимости услуг</a:t>
            </a:r>
          </a:p>
        </c:rich>
      </c:tx>
      <c:overlay val="0"/>
      <c:spPr>
        <a:noFill/>
        <a:ln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Оценка стоимости услуг</c:v>
                </c:pt>
              </c:strCache>
            </c:strRef>
          </c:tx>
          <c:spPr>
            <a:solidFill>
              <a:srgbClr val="4bacc6"/>
            </a:solidFill>
            <a:ln>
              <a:noFill/>
            </a:ln>
          </c:spPr>
          <c:invertIfNegative val="0"/>
          <c:dLbls>
            <c:numFmt formatCode="General" sourceLinked="1"/>
            <c:txPr>
              <a:bodyPr/>
              <a:lstStyle/>
              <a:p>
                <a:pPr>
                  <a:defRPr b="1" sz="14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завышены</c:v>
                </c:pt>
                <c:pt idx="1">
                  <c:v>соответствуют</c:v>
                </c:pt>
                <c:pt idx="2">
                  <c:v>низкие</c:v>
                </c:pt>
                <c:pt idx="3">
                  <c:v>занижены</c:v>
                </c:pt>
                <c:pt idx="4">
                  <c:v>затруднились ответить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6</c:v>
                </c:pt>
                <c:pt idx="1">
                  <c:v>64</c:v>
                </c:pt>
                <c:pt idx="2">
                  <c:v>2</c:v>
                </c:pt>
                <c:pt idx="3">
                  <c:v>4</c:v>
                </c:pt>
                <c:pt idx="4">
                  <c:v>24</c:v>
                </c:pt>
              </c:numCache>
            </c:numRef>
          </c:val>
        </c:ser>
        <c:gapWidth val="150"/>
        <c:overlap val="0"/>
        <c:axId val="74638761"/>
        <c:axId val="48156215"/>
      </c:barChart>
      <c:catAx>
        <c:axId val="74638761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48156215"/>
        <c:crosses val="autoZero"/>
        <c:auto val="1"/>
        <c:lblAlgn val="ctr"/>
        <c:lblOffset val="100"/>
      </c:catAx>
      <c:valAx>
        <c:axId val="48156215"/>
        <c:scaling>
          <c:orientation val="minMax"/>
        </c:scaling>
        <c:delete val="1"/>
        <c:axPos val="l"/>
        <c:numFmt formatCode="General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74638761"/>
        <c:crosses val="autoZero"/>
      </c:valAx>
      <c:spPr>
        <a:solidFill>
          <a:srgbClr val="ffffff"/>
        </a:solidFill>
        <a:ln>
          <a:noFill/>
        </a:ln>
      </c:spPr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Предпочтения в услугах ЦК "Сибирь"</a:t>
            </a:r>
          </a:p>
        </c:rich>
      </c:tx>
      <c:overlay val="0"/>
      <c:spPr>
        <a:noFill/>
        <a:ln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Предпочтения в услугах ЦК </c:v>
                </c:pt>
              </c:strCache>
            </c:strRef>
          </c:tx>
          <c:spPr>
            <a:gradFill>
              <a:gsLst>
                <a:gs pos="0">
                  <a:srgbClr val="779637"/>
                </a:gs>
                <a:gs pos="100000">
                  <a:srgbClr val="9bc348"/>
                </a:gs>
              </a:gsLst>
              <a:lin ang="16200000"/>
            </a:gradFill>
            <a:ln>
              <a:noFill/>
            </a:ln>
          </c:spPr>
          <c:invertIfNegative val="0"/>
          <c:dLbls>
            <c:numFmt formatCode="0%" sourceLinked="1"/>
            <c:txPr>
              <a:bodyPr/>
              <a:lstStyle/>
              <a:p>
                <a:pPr>
                  <a:defRPr b="1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8"/>
                <c:pt idx="0">
                  <c:v>массовые мероприятия</c:v>
                </c:pt>
                <c:pt idx="1">
                  <c:v>концерты и спектакли</c:v>
                </c:pt>
                <c:pt idx="2">
                  <c:v>мероприятия для детей</c:v>
                </c:pt>
                <c:pt idx="3">
                  <c:v>посещение клубных формирований</c:v>
                </c:pt>
                <c:pt idx="4">
                  <c:v>гастроли профессиональных артистов</c:v>
                </c:pt>
                <c:pt idx="5">
                  <c:v>профессиональные праздники</c:v>
                </c:pt>
                <c:pt idx="6">
                  <c:v>мероприятия для молодежи</c:v>
                </c:pt>
                <c:pt idx="7">
                  <c:v>вечера отдыха, дискотеки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8"/>
                <c:pt idx="0">
                  <c:v>0.640000000000001</c:v>
                </c:pt>
                <c:pt idx="1">
                  <c:v>0.58</c:v>
                </c:pt>
                <c:pt idx="2">
                  <c:v>0.26</c:v>
                </c:pt>
                <c:pt idx="3">
                  <c:v>0.25</c:v>
                </c:pt>
                <c:pt idx="4">
                  <c:v>0.19</c:v>
                </c:pt>
                <c:pt idx="5">
                  <c:v>0.18</c:v>
                </c:pt>
                <c:pt idx="6">
                  <c:v>0.16</c:v>
                </c:pt>
                <c:pt idx="7">
                  <c:v>0.15</c:v>
                </c:pt>
              </c:numCache>
            </c:numRef>
          </c:val>
        </c:ser>
        <c:gapWidth val="150"/>
        <c:overlap val="0"/>
        <c:axId val="28443312"/>
        <c:axId val="64684158"/>
      </c:barChart>
      <c:catAx>
        <c:axId val="28443312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4684158"/>
        <c:crosses val="autoZero"/>
        <c:auto val="1"/>
        <c:lblAlgn val="ctr"/>
        <c:lblOffset val="100"/>
      </c:catAx>
      <c:valAx>
        <c:axId val="64684158"/>
        <c:scaling>
          <c:orientation val="minMax"/>
        </c:scaling>
        <c:delete val="1"/>
        <c:axPos val="l"/>
        <c:numFmt formatCode="0%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8443312"/>
        <c:crosses val="autoZero"/>
      </c:valAx>
      <c:spPr>
        <a:solidFill>
          <a:srgbClr val="ffffff"/>
        </a:solidFill>
        <a:ln>
          <a:noFill/>
        </a:ln>
      </c:spPr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Предпочтения в услугах библиотеки</a:t>
            </a:r>
          </a:p>
        </c:rich>
      </c:tx>
      <c:overlay val="0"/>
      <c:spPr>
        <a:noFill/>
        <a:ln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295"/>
          <c:y val="0.166555555555556"/>
          <c:w val="0.8426875"/>
          <c:h val="0.40755555555555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Предпочтения в услугах библиотеки</c:v>
                </c:pt>
              </c:strCache>
            </c:strRef>
          </c:tx>
          <c:spPr>
            <a:gradFill>
              <a:gsLst>
                <a:gs pos="0">
                  <a:srgbClr val="9c2f2c"/>
                </a:gs>
                <a:gs pos="100000">
                  <a:srgbClr val="cb3d39"/>
                </a:gs>
              </a:gsLst>
              <a:lin ang="16200000"/>
            </a:gradFill>
            <a:ln>
              <a:noFill/>
            </a:ln>
          </c:spPr>
          <c:invertIfNegative val="0"/>
          <c:dLbls>
            <c:numFmt formatCode="0%" sourceLinked="1"/>
            <c:txPr>
              <a:bodyPr/>
              <a:lstStyle/>
              <a:p>
                <a:pPr>
                  <a:defRPr b="1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8"/>
                <c:pt idx="0">
                  <c:v>посещение библиотеки</c:v>
                </c:pt>
                <c:pt idx="1">
                  <c:v>центр общественного доступа</c:v>
                </c:pt>
                <c:pt idx="2">
                  <c:v>мероприятия для детей</c:v>
                </c:pt>
                <c:pt idx="3">
                  <c:v>литературные вечера</c:v>
                </c:pt>
                <c:pt idx="4">
                  <c:v>участие в конкурсах</c:v>
                </c:pt>
                <c:pt idx="5">
                  <c:v>посещение клубных формирований</c:v>
                </c:pt>
                <c:pt idx="6">
                  <c:v>надомный абонемент</c:v>
                </c:pt>
                <c:pt idx="7">
                  <c:v>школа компьютернойграмотности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8"/>
                <c:pt idx="0">
                  <c:v>0.760000000000001</c:v>
                </c:pt>
                <c:pt idx="1">
                  <c:v>0.33</c:v>
                </c:pt>
                <c:pt idx="2">
                  <c:v>0.27</c:v>
                </c:pt>
                <c:pt idx="3">
                  <c:v>0.21</c:v>
                </c:pt>
                <c:pt idx="4">
                  <c:v>0.2</c:v>
                </c:pt>
                <c:pt idx="5">
                  <c:v>0.11</c:v>
                </c:pt>
                <c:pt idx="6">
                  <c:v>0.07</c:v>
                </c:pt>
                <c:pt idx="7">
                  <c:v>0.06</c:v>
                </c:pt>
              </c:numCache>
            </c:numRef>
          </c:val>
        </c:ser>
        <c:gapWidth val="150"/>
        <c:overlap val="0"/>
        <c:axId val="24357598"/>
        <c:axId val="12915364"/>
      </c:barChart>
      <c:catAx>
        <c:axId val="24357598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2915364"/>
        <c:crosses val="autoZero"/>
        <c:auto val="1"/>
        <c:lblAlgn val="ctr"/>
        <c:lblOffset val="100"/>
      </c:catAx>
      <c:valAx>
        <c:axId val="12915364"/>
        <c:scaling>
          <c:orientation val="minMax"/>
        </c:scaling>
        <c:delete val="1"/>
        <c:axPos val="l"/>
        <c:numFmt formatCode="0%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24357598"/>
        <c:crosses val="autoZero"/>
      </c:valAx>
      <c:spPr>
        <a:solidFill>
          <a:srgbClr val="ffffff"/>
        </a:solidFill>
        <a:ln>
          <a:noFill/>
        </a:ln>
      </c:spPr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предпочтения в услугах музея</a:t>
            </a:r>
          </a:p>
        </c:rich>
      </c:tx>
      <c:overlay val="0"/>
      <c:spPr>
        <a:noFill/>
        <a:ln>
          <a:noFill/>
        </a:ln>
      </c:spPr>
    </c:title>
    <c:autoTitleDeleted val="0"/>
    <c:view3D>
      <c:rotX val="15"/>
      <c:rotY val="20"/>
      <c:rAngAx val="0"/>
      <c:perspective val="30"/>
    </c:view3D>
    <c:floor>
      <c:spPr>
        <a:solidFill>
          <a:srgbClr val="fdeee8"/>
        </a:solidFill>
        <a:ln w="9360">
          <a:solidFill>
            <a:srgbClr val="878787"/>
          </a:solidFill>
          <a:round/>
        </a:ln>
      </c:spPr>
    </c:floor>
    <c:sideWall>
      <c:spPr>
        <a:solidFill>
          <a:srgbClr val="fdeee8"/>
        </a:solidFill>
        <a:ln w="9360">
          <a:solidFill>
            <a:srgbClr val="878787"/>
          </a:solidFill>
          <a:round/>
        </a:ln>
      </c:spPr>
    </c:sideWall>
    <c:backWall>
      <c:spPr>
        <a:solidFill>
          <a:srgbClr val="fdeee8"/>
        </a:solidFill>
        <a:ln w="9360">
          <a:solidFill>
            <a:srgbClr val="878787"/>
          </a:solidFill>
          <a:round/>
        </a:ln>
      </c:spPr>
    </c:backWall>
    <c:plotArea>
      <c:bar3DChart>
        <c:barDir val="col"/>
        <c:grouping val="standar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предпочтения в услугах музея</c:v>
                </c:pt>
              </c:strCache>
            </c:strRef>
          </c:tx>
          <c:spPr>
            <a:solidFill>
              <a:srgbClr val="f79646"/>
            </a:solidFill>
            <a:ln w="9360">
              <a:solidFill>
                <a:srgbClr val="b46b2e"/>
              </a:solidFill>
              <a:round/>
            </a:ln>
          </c:spPr>
          <c:invertIfNegative val="0"/>
          <c:dLbls>
            <c:numFmt formatCode="0%" sourceLinked="1"/>
            <c:txPr>
              <a:bodyPr/>
              <a:lstStyle/>
              <a:p>
                <a:pPr>
                  <a:defRPr b="1" sz="12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4"/>
                <c:pt idx="0">
                  <c:v>выставки</c:v>
                </c:pt>
                <c:pt idx="1">
                  <c:v>мероприятия для детей</c:v>
                </c:pt>
                <c:pt idx="2">
                  <c:v>мастер-классы</c:v>
                </c:pt>
                <c:pt idx="3">
                  <c:v>встречи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4"/>
                <c:pt idx="0">
                  <c:v>0.730000000000001</c:v>
                </c:pt>
                <c:pt idx="1">
                  <c:v>0.35</c:v>
                </c:pt>
                <c:pt idx="2">
                  <c:v>0.32</c:v>
                </c:pt>
                <c:pt idx="3">
                  <c:v>0.23</c:v>
                </c:pt>
              </c:numCache>
            </c:numRef>
          </c:val>
        </c:ser>
        <c:gapWidth val="150"/>
        <c:shape val="cone"/>
        <c:axId val="97972544"/>
        <c:axId val="17498398"/>
      </c:bar3DChart>
      <c:catAx>
        <c:axId val="97972544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1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17498398"/>
        <c:crosses val="autoZero"/>
        <c:auto val="1"/>
        <c:lblAlgn val="ctr"/>
        <c:lblOffset val="100"/>
      </c:catAx>
      <c:valAx>
        <c:axId val="17498398"/>
        <c:scaling>
          <c:orientation val="minMax"/>
        </c:scaling>
        <c:delete val="1"/>
        <c:axPos val="l"/>
        <c:numFmt formatCode="0%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7972544"/>
        <c:crosses val="autoZero"/>
      </c:valAx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1" sz="1800" spc="-1" strike="noStrike">
                <a:solidFill>
                  <a:srgbClr val="000000"/>
                </a:solidFill>
                <a:latin typeface="Calibri"/>
              </a:defRPr>
            </a:pPr>
            <a:r>
              <a:rPr b="1" sz="1800" spc="-1" strike="noStrike">
                <a:solidFill>
                  <a:srgbClr val="000000"/>
                </a:solidFill>
                <a:latin typeface="Calibri"/>
              </a:rPr>
              <a:t>предпочтения в услугах ДШИ</a:t>
            </a:r>
          </a:p>
        </c:rich>
      </c:tx>
      <c:overlay val="0"/>
      <c:spPr>
        <a:noFill/>
        <a:ln>
          <a:noFill/>
        </a:ln>
      </c:spPr>
    </c:title>
    <c:autoTitleDeleted val="0"/>
    <c:view3D>
      <c:rotX val="15"/>
      <c:rotY val="20"/>
      <c:rAngAx val="1"/>
      <c:perspective val="30"/>
    </c:view3D>
    <c:floor>
      <c:spPr>
        <a:noFill/>
        <a:ln w="9360">
          <a:solidFill>
            <a:srgbClr val="878787"/>
          </a:solidFill>
          <a:round/>
        </a:ln>
      </c:spPr>
    </c:floor>
    <c:sideWall>
      <c:spPr>
        <a:noFill/>
        <a:ln w="9360">
          <a:solidFill>
            <a:srgbClr val="878787"/>
          </a:solidFill>
          <a:round/>
        </a:ln>
      </c:spPr>
    </c:sideWall>
    <c:backWall>
      <c:spPr>
        <a:noFill/>
        <a:ln w="9360">
          <a:solidFill>
            <a:srgbClr val="878787"/>
          </a:solidFill>
          <a:round/>
        </a:ln>
      </c:spPr>
    </c:backWall>
    <c:plotArea>
      <c:bar3DChart>
        <c:barDir val="col"/>
        <c:grouping val="stack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предпочтения в услугах ДШИ</c:v>
                </c:pt>
              </c:strCache>
            </c:strRef>
          </c:tx>
          <c:spPr>
            <a:solidFill>
              <a:srgbClr val="8064a2"/>
            </a:solidFill>
            <a:ln>
              <a:noFill/>
            </a:ln>
          </c:spPr>
          <c:invertIfNegative val="0"/>
          <c:dPt>
            <c:idx val="0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Pt>
            <c:idx val="1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Pt>
            <c:idx val="2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Pt>
            <c:idx val="3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Pt>
            <c:idx val="4"/>
            <c:invertIfNegative val="0"/>
            <c:spPr>
              <a:solidFill>
                <a:srgbClr val="8064a2"/>
              </a:solidFill>
              <a:ln>
                <a:noFill/>
              </a:ln>
            </c:spPr>
          </c:dPt>
          <c:dLbls>
            <c:numFmt formatCode="0%" sourceLinked="1"/>
            <c:dLbl>
              <c:idx val="0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1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2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3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dLbl>
              <c:idx val="4"/>
              <c:txPr>
                <a:bodyPr/>
                <a:lstStyle/>
                <a:p>
                  <a:pPr>
                    <a:defRPr b="1" sz="1400" spc="-1" strike="noStrike">
                      <a:solidFill>
                        <a:srgbClr val="000000"/>
                      </a:solidFill>
                      <a:latin typeface="Calibri"/>
                    </a:defRPr>
                  </a:pPr>
                </a:p>
              </c:txPr>
              <c:showLegendKey val="0"/>
              <c:showVal val="1"/>
              <c:showCatName val="0"/>
              <c:showSerName val="0"/>
              <c:showPercent val="0"/>
              <c:separator>; </c:separator>
            </c:dLbl>
            <c:txPr>
              <a:bodyPr/>
              <a:lstStyle/>
              <a:p>
                <a:pPr>
                  <a:defRPr b="1" sz="14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showLegendKey val="0"/>
            <c:showVal val="1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коцерты, выставки</c:v>
                </c:pt>
                <c:pt idx="1">
                  <c:v>мероприятия для детей</c:v>
                </c:pt>
                <c:pt idx="2">
                  <c:v>обучение игре на муз. инстр.</c:v>
                </c:pt>
                <c:pt idx="3">
                  <c:v>обучение хореографии</c:v>
                </c:pt>
                <c:pt idx="4">
                  <c:v>обучение изо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0.68</c:v>
                </c:pt>
                <c:pt idx="1">
                  <c:v>0.33</c:v>
                </c:pt>
                <c:pt idx="2">
                  <c:v>0.17</c:v>
                </c:pt>
                <c:pt idx="3">
                  <c:v>0.16</c:v>
                </c:pt>
                <c:pt idx="4">
                  <c:v>0.14</c:v>
                </c:pt>
              </c:numCache>
            </c:numRef>
          </c:val>
        </c:ser>
        <c:gapWidth val="150"/>
        <c:shape val="cylinder"/>
        <c:axId val="60238909"/>
        <c:axId val="91195562"/>
        <c:axId val="0"/>
      </c:bar3DChart>
      <c:catAx>
        <c:axId val="60238909"/>
        <c:scaling>
          <c:orientation val="minMax"/>
        </c:scaling>
        <c:delete val="0"/>
        <c:axPos val="b"/>
        <c:numFmt formatCode="[$-419]DD/MM/YYYY" sourceLinked="1"/>
        <c:majorTickMark val="out"/>
        <c:minorTickMark val="none"/>
        <c:tickLblPos val="nextTo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1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91195562"/>
        <c:crosses val="autoZero"/>
        <c:auto val="1"/>
        <c:lblAlgn val="ctr"/>
        <c:lblOffset val="100"/>
      </c:catAx>
      <c:valAx>
        <c:axId val="91195562"/>
        <c:scaling>
          <c:orientation val="minMax"/>
        </c:scaling>
        <c:delete val="1"/>
        <c:axPos val="l"/>
        <c:numFmt formatCode="0%" sourceLinked="0"/>
        <c:majorTickMark val="out"/>
        <c:minorTickMark val="none"/>
        <c:tickLblPos val="none"/>
        <c:spPr>
          <a:ln w="9360">
            <a:solidFill>
              <a:srgbClr val="878787"/>
            </a:solidFill>
            <a:round/>
          </a:ln>
        </c:spPr>
        <c:txPr>
          <a:bodyPr/>
          <a:lstStyle/>
          <a:p>
            <a:pPr>
              <a:defRPr b="0" sz="1000" spc="-1" strike="noStrike">
                <a:solidFill>
                  <a:srgbClr val="000000"/>
                </a:solidFill>
                <a:latin typeface="Calibri"/>
              </a:defRPr>
            </a:pPr>
          </a:p>
        </c:txPr>
        <c:crossAx val="60238909"/>
        <c:crosses val="autoZero"/>
      </c:valAx>
    </c:plotArea>
    <c:plotVisOnly val="1"/>
    <c:dispBlanksAs val="gap"/>
  </c:chart>
  <c:spPr>
    <a:solidFill>
      <a:srgbClr val="ffffff"/>
    </a:solidFill>
    <a:ln>
      <a:noFill/>
    </a:ln>
  </c:sp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Application>LibreOffice/6.2.4.2$Windows_X86_64 LibreOffice_project/2412653d852ce75f65fbfa83fb7e7b669a126d64</Application>
  <Pages>15</Pages>
  <Words>1807</Words>
  <Characters>12762</Characters>
  <CharactersWithSpaces>14523</CharactersWithSpaces>
  <Paragraphs>132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2017-10-23T07:19:00Z</dcterms:created>
  <dc:creator>user</dc:creator>
  <dc:description/>
  <dc:language>ru-RU</dc:language>
  <cp:lastModifiedBy/>
  <dcterms:modified xsi:type="dcterms:W3CDTF">2019-11-20T15:40:32Z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